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E51A" w14:textId="77777777" w:rsidR="004B2721" w:rsidRDefault="004B2721"/>
    <w:p w14:paraId="34C7B5F2" w14:textId="7E6E65D1" w:rsidR="004B2721" w:rsidRDefault="0011226A" w:rsidP="0011226A">
      <w:pPr>
        <w:jc w:val="center"/>
      </w:pPr>
      <w:r>
        <w:rPr>
          <w:noProof/>
        </w:rPr>
        <w:drawing>
          <wp:inline distT="0" distB="0" distL="0" distR="0" wp14:anchorId="6C44FC02" wp14:editId="28901C77">
            <wp:extent cx="2429934" cy="634284"/>
            <wp:effectExtent l="0" t="0" r="0" b="1270"/>
            <wp:docPr id="15438581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58119" name="Imagen 1543858119"/>
                    <pic:cNvPicPr/>
                  </pic:nvPicPr>
                  <pic:blipFill>
                    <a:blip r:embed="rId7">
                      <a:extLst>
                        <a:ext uri="{28A0092B-C50C-407E-A947-70E740481C1C}">
                          <a14:useLocalDpi xmlns:a14="http://schemas.microsoft.com/office/drawing/2010/main" val="0"/>
                        </a:ext>
                      </a:extLst>
                    </a:blip>
                    <a:stretch>
                      <a:fillRect/>
                    </a:stretch>
                  </pic:blipFill>
                  <pic:spPr>
                    <a:xfrm>
                      <a:off x="0" y="0"/>
                      <a:ext cx="2479930" cy="647334"/>
                    </a:xfrm>
                    <a:prstGeom prst="rect">
                      <a:avLst/>
                    </a:prstGeom>
                  </pic:spPr>
                </pic:pic>
              </a:graphicData>
            </a:graphic>
          </wp:inline>
        </w:drawing>
      </w:r>
    </w:p>
    <w:p w14:paraId="3B597530" w14:textId="77777777" w:rsidR="0011226A" w:rsidRDefault="0011226A" w:rsidP="0011226A">
      <w:pPr>
        <w:jc w:val="center"/>
      </w:pPr>
    </w:p>
    <w:p w14:paraId="32758705" w14:textId="0ABF5F90" w:rsidR="004B2721" w:rsidRPr="0011226A" w:rsidRDefault="004B2721" w:rsidP="0011226A">
      <w:pPr>
        <w:jc w:val="center"/>
        <w:rPr>
          <w:rFonts w:ascii="Baskerville Old Face" w:hAnsi="Baskerville Old Face"/>
          <w:b/>
          <w:bCs/>
          <w:sz w:val="32"/>
          <w:szCs w:val="32"/>
        </w:rPr>
      </w:pPr>
      <w:r w:rsidRPr="0011226A">
        <w:rPr>
          <w:rFonts w:ascii="Baskerville Old Face" w:hAnsi="Baskerville Old Face"/>
          <w:b/>
          <w:bCs/>
          <w:sz w:val="32"/>
          <w:szCs w:val="32"/>
        </w:rPr>
        <w:t>ANTICOAGULACIÓN PARA FA SECUNDARIA</w:t>
      </w:r>
    </w:p>
    <w:p w14:paraId="0DE1682D" w14:textId="77777777" w:rsidR="004B2721" w:rsidRPr="0011226A" w:rsidRDefault="004B2721" w:rsidP="0011226A">
      <w:pPr>
        <w:jc w:val="center"/>
        <w:rPr>
          <w:rFonts w:ascii="Baskerville Old Face" w:hAnsi="Baskerville Old Face"/>
          <w:sz w:val="32"/>
          <w:szCs w:val="32"/>
        </w:rPr>
      </w:pPr>
    </w:p>
    <w:p w14:paraId="2A9AD430" w14:textId="38C34C76" w:rsidR="004B2721" w:rsidRPr="0011226A" w:rsidRDefault="0011226A">
      <w:pPr>
        <w:rPr>
          <w:rFonts w:ascii="Baskerville Old Face" w:hAnsi="Baskerville Old Face"/>
          <w:u w:val="single"/>
        </w:rPr>
      </w:pPr>
      <w:r w:rsidRPr="0011226A">
        <w:rPr>
          <w:rFonts w:ascii="Baskerville Old Face" w:hAnsi="Baskerville Old Face"/>
          <w:u w:val="single"/>
        </w:rPr>
        <w:t xml:space="preserve">CASO: </w:t>
      </w:r>
      <w:r w:rsidR="004B2721" w:rsidRPr="0011226A">
        <w:rPr>
          <w:rFonts w:ascii="Baskerville Old Face" w:hAnsi="Baskerville Old Face"/>
          <w:u w:val="single"/>
        </w:rPr>
        <w:t>FA DESENCADENADA POR SEPSIS:</w:t>
      </w:r>
    </w:p>
    <w:p w14:paraId="7402E69D" w14:textId="77777777" w:rsidR="004B2721" w:rsidRDefault="004B2721">
      <w:pPr>
        <w:rPr>
          <w:u w:val="single"/>
        </w:rPr>
      </w:pPr>
    </w:p>
    <w:p w14:paraId="5113BED2" w14:textId="2F5E4C94" w:rsidR="0011226A" w:rsidRPr="0011226A" w:rsidRDefault="0011226A">
      <w:pPr>
        <w:rPr>
          <w:rFonts w:ascii="Baskerville Old Face" w:hAnsi="Baskerville Old Face"/>
          <w:b/>
          <w:bCs/>
        </w:rPr>
      </w:pPr>
      <w:r w:rsidRPr="0011226A">
        <w:rPr>
          <w:rFonts w:ascii="Baskerville Old Face" w:hAnsi="Baskerville Old Face"/>
          <w:b/>
          <w:bCs/>
        </w:rPr>
        <w:t>Antecedentes:</w:t>
      </w:r>
    </w:p>
    <w:p w14:paraId="2A6CA13F" w14:textId="77777777" w:rsidR="0011226A" w:rsidRPr="0011226A" w:rsidRDefault="0011226A">
      <w:pPr>
        <w:rPr>
          <w:rFonts w:ascii="Baskerville Old Face" w:hAnsi="Baskerville Old Face"/>
          <w:u w:val="single"/>
        </w:rPr>
      </w:pPr>
    </w:p>
    <w:p w14:paraId="5D33440F" w14:textId="77777777" w:rsidR="0011226A" w:rsidRPr="0011226A" w:rsidRDefault="00057469">
      <w:pPr>
        <w:rPr>
          <w:rFonts w:ascii="Baskerville Old Face" w:hAnsi="Baskerville Old Face"/>
        </w:rPr>
      </w:pPr>
      <w:r w:rsidRPr="0011226A">
        <w:rPr>
          <w:rFonts w:ascii="Baskerville Old Face" w:hAnsi="Baskerville Old Face"/>
        </w:rPr>
        <w:t>Una mujer de 68 años con antecedentes de hipertensión y diabetes acude a urgencias por disnea progresiva de 3 días, tos y fiebre. No tiene antecedentes de ACV, arritmias cardíacas, insuficiencia cardíaca congestiva, enfermedad</w:t>
      </w:r>
      <w:r w:rsidR="00494D88" w:rsidRPr="0011226A">
        <w:rPr>
          <w:rFonts w:ascii="Baskerville Old Face" w:hAnsi="Baskerville Old Face"/>
        </w:rPr>
        <w:t xml:space="preserve"> </w:t>
      </w:r>
      <w:r w:rsidRPr="0011226A">
        <w:rPr>
          <w:rFonts w:ascii="Baskerville Old Face" w:hAnsi="Baskerville Old Face"/>
        </w:rPr>
        <w:t xml:space="preserve">coronaria o sangrado gastrointestinal. Su tratamiento es lisinopril y metformina. </w:t>
      </w:r>
    </w:p>
    <w:p w14:paraId="74366E15" w14:textId="77777777" w:rsidR="0011226A" w:rsidRPr="0011226A" w:rsidRDefault="0011226A">
      <w:pPr>
        <w:rPr>
          <w:rFonts w:ascii="Baskerville Old Face" w:hAnsi="Baskerville Old Face"/>
        </w:rPr>
      </w:pPr>
    </w:p>
    <w:p w14:paraId="5D5D362E" w14:textId="2327AEAB" w:rsidR="0011226A" w:rsidRPr="0011226A" w:rsidRDefault="0011226A">
      <w:pPr>
        <w:rPr>
          <w:rFonts w:ascii="Baskerville Old Face" w:hAnsi="Baskerville Old Face"/>
          <w:b/>
          <w:bCs/>
        </w:rPr>
      </w:pPr>
      <w:r w:rsidRPr="0011226A">
        <w:rPr>
          <w:rFonts w:ascii="Baskerville Old Face" w:hAnsi="Baskerville Old Face"/>
          <w:b/>
          <w:bCs/>
        </w:rPr>
        <w:t>Exploración:</w:t>
      </w:r>
    </w:p>
    <w:p w14:paraId="6255695A" w14:textId="77777777" w:rsidR="0011226A" w:rsidRPr="0011226A" w:rsidRDefault="0011226A">
      <w:pPr>
        <w:rPr>
          <w:rFonts w:ascii="Baskerville Old Face" w:hAnsi="Baskerville Old Face"/>
        </w:rPr>
      </w:pPr>
    </w:p>
    <w:p w14:paraId="7ABF9DC3" w14:textId="77777777" w:rsidR="0011226A" w:rsidRPr="0011226A" w:rsidRDefault="00057469">
      <w:pPr>
        <w:rPr>
          <w:rFonts w:ascii="Baskerville Old Face" w:hAnsi="Baskerville Old Face"/>
        </w:rPr>
      </w:pPr>
      <w:r w:rsidRPr="0011226A">
        <w:rPr>
          <w:rFonts w:ascii="Baskerville Old Face" w:hAnsi="Baskerville Old Face"/>
        </w:rPr>
        <w:t xml:space="preserve">En el examen inicial, su temperatura es de 38,5 °C, la </w:t>
      </w:r>
      <w:r w:rsidR="00494D88" w:rsidRPr="0011226A">
        <w:rPr>
          <w:rFonts w:ascii="Baskerville Old Face" w:hAnsi="Baskerville Old Face"/>
        </w:rPr>
        <w:t xml:space="preserve">tensión </w:t>
      </w:r>
      <w:r w:rsidRPr="0011226A">
        <w:rPr>
          <w:rFonts w:ascii="Baskerville Old Face" w:hAnsi="Baskerville Old Face"/>
        </w:rPr>
        <w:t xml:space="preserve">arterial de 105/53 mm Hg, la frecuencia cardíaca es regular </w:t>
      </w:r>
      <w:r w:rsidR="00494D88" w:rsidRPr="0011226A">
        <w:rPr>
          <w:rFonts w:ascii="Baskerville Old Face" w:hAnsi="Baskerville Old Face"/>
        </w:rPr>
        <w:t>a</w:t>
      </w:r>
      <w:r w:rsidRPr="0011226A">
        <w:rPr>
          <w:rFonts w:ascii="Baskerville Old Face" w:hAnsi="Baskerville Old Face"/>
        </w:rPr>
        <w:t xml:space="preserve"> 105 latidos por minuto, la frecuencia respiratoria es de 24 respiraciones por minuto y la saturación de oxígeno del 86 % aire ambiente. Presenta crepitantes en base i</w:t>
      </w:r>
      <w:r w:rsidR="00494D88" w:rsidRPr="0011226A">
        <w:rPr>
          <w:rFonts w:ascii="Baskerville Old Face" w:hAnsi="Baskerville Old Face"/>
        </w:rPr>
        <w:t>z</w:t>
      </w:r>
      <w:r w:rsidRPr="0011226A">
        <w:rPr>
          <w:rFonts w:ascii="Baskerville Old Face" w:hAnsi="Baskerville Old Face"/>
        </w:rPr>
        <w:t>quierda y parece confu</w:t>
      </w:r>
      <w:r w:rsidR="00494D88" w:rsidRPr="0011226A">
        <w:rPr>
          <w:rFonts w:ascii="Baskerville Old Face" w:hAnsi="Baskerville Old Face"/>
        </w:rPr>
        <w:t>sa</w:t>
      </w:r>
      <w:r w:rsidRPr="0011226A">
        <w:rPr>
          <w:rFonts w:ascii="Baskerville Old Face" w:hAnsi="Baskerville Old Face"/>
        </w:rPr>
        <w:t xml:space="preserve">. No hay </w:t>
      </w:r>
      <w:proofErr w:type="spellStart"/>
      <w:r w:rsidRPr="0011226A">
        <w:rPr>
          <w:rFonts w:ascii="Baskerville Old Face" w:hAnsi="Baskerville Old Face"/>
        </w:rPr>
        <w:t>focalidad</w:t>
      </w:r>
      <w:proofErr w:type="spellEnd"/>
      <w:r w:rsidRPr="0011226A">
        <w:rPr>
          <w:rFonts w:ascii="Baskerville Old Face" w:hAnsi="Baskerville Old Face"/>
        </w:rPr>
        <w:t xml:space="preserve"> neurológica. </w:t>
      </w:r>
    </w:p>
    <w:p w14:paraId="35902731" w14:textId="77777777" w:rsidR="0011226A" w:rsidRPr="0011226A" w:rsidRDefault="0011226A">
      <w:pPr>
        <w:rPr>
          <w:rFonts w:ascii="Baskerville Old Face" w:hAnsi="Baskerville Old Face"/>
        </w:rPr>
      </w:pPr>
    </w:p>
    <w:p w14:paraId="07B6A56D" w14:textId="722D9AE4" w:rsidR="0011226A" w:rsidRPr="0011226A" w:rsidRDefault="0011226A">
      <w:pPr>
        <w:rPr>
          <w:rFonts w:ascii="Baskerville Old Face" w:hAnsi="Baskerville Old Face"/>
          <w:b/>
          <w:bCs/>
        </w:rPr>
      </w:pPr>
      <w:r w:rsidRPr="0011226A">
        <w:rPr>
          <w:rFonts w:ascii="Baskerville Old Face" w:hAnsi="Baskerville Old Face"/>
          <w:b/>
          <w:bCs/>
        </w:rPr>
        <w:t>Pruebas complementarias:</w:t>
      </w:r>
    </w:p>
    <w:p w14:paraId="05532A66" w14:textId="77777777" w:rsidR="0011226A" w:rsidRPr="0011226A" w:rsidRDefault="0011226A">
      <w:pPr>
        <w:rPr>
          <w:rFonts w:ascii="Baskerville Old Face" w:hAnsi="Baskerville Old Face"/>
        </w:rPr>
      </w:pPr>
    </w:p>
    <w:p w14:paraId="2E46F95E" w14:textId="77777777" w:rsidR="0011226A" w:rsidRPr="0011226A" w:rsidRDefault="00057469" w:rsidP="0011226A">
      <w:pPr>
        <w:pStyle w:val="Prrafodelista"/>
        <w:numPr>
          <w:ilvl w:val="0"/>
          <w:numId w:val="2"/>
        </w:numPr>
        <w:rPr>
          <w:rFonts w:ascii="Baskerville Old Face" w:hAnsi="Baskerville Old Face"/>
        </w:rPr>
      </w:pPr>
      <w:r w:rsidRPr="0011226A">
        <w:rPr>
          <w:rFonts w:ascii="Baskerville Old Face" w:hAnsi="Baskerville Old Face"/>
        </w:rPr>
        <w:t xml:space="preserve">Los estudios de laboratorio muestran deterioro de la función renal (creatinina de 1,8 mg por decilitro (159 </w:t>
      </w:r>
      <w:proofErr w:type="spellStart"/>
      <w:r w:rsidRPr="0011226A">
        <w:rPr>
          <w:rFonts w:ascii="Cambria" w:hAnsi="Cambria" w:cs="Cambria"/>
        </w:rPr>
        <w:t>μ</w:t>
      </w:r>
      <w:r w:rsidRPr="0011226A">
        <w:rPr>
          <w:rFonts w:ascii="Baskerville Old Face" w:hAnsi="Baskerville Old Face"/>
        </w:rPr>
        <w:t>mol</w:t>
      </w:r>
      <w:proofErr w:type="spellEnd"/>
      <w:r w:rsidRPr="0011226A">
        <w:rPr>
          <w:rFonts w:ascii="Baskerville Old Face" w:hAnsi="Baskerville Old Face"/>
        </w:rPr>
        <w:t xml:space="preserve"> por litro)), un anión gap de 16 mmol por litro, leucocitosis de 18.500 por milímetro cúbico con neutrofilia y un nivel elevado de lactato de 2,8 mmol por litro. </w:t>
      </w:r>
    </w:p>
    <w:p w14:paraId="7B06343E" w14:textId="77777777" w:rsidR="0011226A" w:rsidRPr="0011226A" w:rsidRDefault="00057469" w:rsidP="0011226A">
      <w:pPr>
        <w:pStyle w:val="Prrafodelista"/>
        <w:numPr>
          <w:ilvl w:val="0"/>
          <w:numId w:val="2"/>
        </w:numPr>
        <w:rPr>
          <w:rFonts w:ascii="Baskerville Old Face" w:hAnsi="Baskerville Old Face"/>
        </w:rPr>
      </w:pPr>
      <w:r w:rsidRPr="0011226A">
        <w:rPr>
          <w:rFonts w:ascii="Baskerville Old Face" w:hAnsi="Baskerville Old Face"/>
        </w:rPr>
        <w:t xml:space="preserve">En el electrocardiograma muestra taquicardia sinusal. </w:t>
      </w:r>
    </w:p>
    <w:p w14:paraId="35F9CFED" w14:textId="77777777" w:rsidR="0011226A" w:rsidRPr="0011226A" w:rsidRDefault="00057469" w:rsidP="0011226A">
      <w:pPr>
        <w:pStyle w:val="Prrafodelista"/>
        <w:numPr>
          <w:ilvl w:val="0"/>
          <w:numId w:val="2"/>
        </w:numPr>
        <w:rPr>
          <w:rFonts w:ascii="Baskerville Old Face" w:hAnsi="Baskerville Old Face"/>
        </w:rPr>
      </w:pPr>
      <w:r w:rsidRPr="0011226A">
        <w:rPr>
          <w:rFonts w:ascii="Baskerville Old Face" w:hAnsi="Baskerville Old Face"/>
        </w:rPr>
        <w:t xml:space="preserve">La radiografía de tórax muestra una opacidad en el lóbulo inferior izquierdo que sugiere neumonía. </w:t>
      </w:r>
    </w:p>
    <w:p w14:paraId="3236C084" w14:textId="77777777" w:rsidR="0011226A" w:rsidRPr="0011226A" w:rsidRDefault="0011226A" w:rsidP="0011226A">
      <w:pPr>
        <w:rPr>
          <w:rFonts w:ascii="Baskerville Old Face" w:hAnsi="Baskerville Old Face"/>
        </w:rPr>
      </w:pPr>
    </w:p>
    <w:p w14:paraId="6291D1E2" w14:textId="77777777" w:rsidR="0011226A" w:rsidRPr="0011226A" w:rsidRDefault="00057469" w:rsidP="0011226A">
      <w:pPr>
        <w:rPr>
          <w:rFonts w:ascii="Baskerville Old Face" w:hAnsi="Baskerville Old Face"/>
        </w:rPr>
      </w:pPr>
      <w:r w:rsidRPr="0011226A">
        <w:rPr>
          <w:rFonts w:ascii="Baskerville Old Face" w:hAnsi="Baskerville Old Face"/>
        </w:rPr>
        <w:t>Se diagnostica</w:t>
      </w:r>
      <w:r w:rsidR="00494D88" w:rsidRPr="0011226A">
        <w:rPr>
          <w:rFonts w:ascii="Baskerville Old Face" w:hAnsi="Baskerville Old Face"/>
        </w:rPr>
        <w:t xml:space="preserve"> de </w:t>
      </w:r>
      <w:r w:rsidR="00494D88" w:rsidRPr="0011226A">
        <w:rPr>
          <w:rFonts w:ascii="Baskerville Old Face" w:hAnsi="Baskerville Old Face"/>
          <w:i/>
          <w:iCs/>
          <w:color w:val="FF0000"/>
        </w:rPr>
        <w:t>sepsis por neumonía adquirida en la comunidad</w:t>
      </w:r>
      <w:r w:rsidRPr="0011226A">
        <w:rPr>
          <w:rFonts w:ascii="Baskerville Old Face" w:hAnsi="Baskerville Old Face"/>
        </w:rPr>
        <w:t>. Se inician los antibióticos apropiados y oxígeno suplementario; es ingresada en planta de medicina interna para recibir atención continua</w:t>
      </w:r>
      <w:r w:rsidR="00494D88" w:rsidRPr="0011226A">
        <w:rPr>
          <w:rFonts w:ascii="Baskerville Old Face" w:hAnsi="Baskerville Old Face"/>
        </w:rPr>
        <w:t>da</w:t>
      </w:r>
      <w:r w:rsidRPr="0011226A">
        <w:rPr>
          <w:rFonts w:ascii="Baskerville Old Face" w:hAnsi="Baskerville Old Face"/>
        </w:rPr>
        <w:t xml:space="preserve">. </w:t>
      </w:r>
    </w:p>
    <w:p w14:paraId="6973114D" w14:textId="77777777" w:rsidR="0011226A" w:rsidRPr="0011226A" w:rsidRDefault="0011226A" w:rsidP="0011226A">
      <w:pPr>
        <w:rPr>
          <w:rFonts w:ascii="Baskerville Old Face" w:hAnsi="Baskerville Old Face"/>
        </w:rPr>
      </w:pPr>
    </w:p>
    <w:p w14:paraId="1361F579" w14:textId="0F2DC1DE" w:rsidR="00494D88" w:rsidRPr="0011226A" w:rsidRDefault="00057469" w:rsidP="0011226A">
      <w:pPr>
        <w:rPr>
          <w:rFonts w:ascii="Baskerville Old Face" w:hAnsi="Baskerville Old Face"/>
        </w:rPr>
      </w:pPr>
      <w:r w:rsidRPr="0011226A">
        <w:rPr>
          <w:rFonts w:ascii="Baskerville Old Face" w:hAnsi="Baskerville Old Face"/>
        </w:rPr>
        <w:t xml:space="preserve">En el día 1 de la estancia hospitalaria, </w:t>
      </w:r>
      <w:r w:rsidR="00494D88" w:rsidRPr="0011226A">
        <w:rPr>
          <w:rFonts w:ascii="Baskerville Old Face" w:hAnsi="Baskerville Old Face"/>
        </w:rPr>
        <w:t>la</w:t>
      </w:r>
      <w:r w:rsidRPr="0011226A">
        <w:rPr>
          <w:rFonts w:ascii="Baskerville Old Face" w:hAnsi="Baskerville Old Face"/>
        </w:rPr>
        <w:t xml:space="preserve"> paciente es diagnosticada de fibrilación auricular con un ritmo cardíaco irregular a 133 latidos por minuto. Ella niega sintomatología asociada. Se inicia la infusión intravenosa de heparina, y después de 16 horas, el ritmo cardíaco revierte a ritmo sinusal </w:t>
      </w:r>
      <w:r w:rsidR="00494D88" w:rsidRPr="0011226A">
        <w:rPr>
          <w:rFonts w:ascii="Baskerville Old Face" w:hAnsi="Baskerville Old Face"/>
        </w:rPr>
        <w:t>a</w:t>
      </w:r>
      <w:r w:rsidRPr="0011226A">
        <w:rPr>
          <w:rFonts w:ascii="Baskerville Old Face" w:hAnsi="Baskerville Old Face"/>
        </w:rPr>
        <w:t xml:space="preserve"> 86 latidos por minuto. </w:t>
      </w:r>
    </w:p>
    <w:p w14:paraId="02A1AA94" w14:textId="77777777" w:rsidR="0011226A" w:rsidRPr="0011226A" w:rsidRDefault="0011226A">
      <w:pPr>
        <w:rPr>
          <w:rFonts w:ascii="Baskerville Old Face" w:hAnsi="Baskerville Old Face"/>
        </w:rPr>
      </w:pPr>
    </w:p>
    <w:p w14:paraId="7D75C33F" w14:textId="77777777" w:rsidR="0011226A" w:rsidRPr="0011226A" w:rsidRDefault="0011226A">
      <w:pPr>
        <w:rPr>
          <w:rFonts w:ascii="Baskerville Old Face" w:hAnsi="Baskerville Old Face"/>
        </w:rPr>
      </w:pPr>
    </w:p>
    <w:p w14:paraId="348D4192" w14:textId="77777777" w:rsidR="0011226A" w:rsidRDefault="0011226A">
      <w:pPr>
        <w:rPr>
          <w:rFonts w:ascii="Baskerville Old Face" w:hAnsi="Baskerville Old Face"/>
        </w:rPr>
      </w:pPr>
    </w:p>
    <w:p w14:paraId="5EEBB523" w14:textId="77777777" w:rsidR="0011226A" w:rsidRDefault="0011226A">
      <w:pPr>
        <w:rPr>
          <w:rFonts w:ascii="Baskerville Old Face" w:hAnsi="Baskerville Old Face"/>
        </w:rPr>
      </w:pPr>
    </w:p>
    <w:p w14:paraId="38C5B970" w14:textId="77777777" w:rsidR="0011226A" w:rsidRDefault="0011226A">
      <w:pPr>
        <w:rPr>
          <w:rFonts w:ascii="Baskerville Old Face" w:hAnsi="Baskerville Old Face"/>
        </w:rPr>
      </w:pPr>
    </w:p>
    <w:p w14:paraId="6D00DC04" w14:textId="77777777" w:rsidR="0011226A" w:rsidRPr="0011226A" w:rsidRDefault="0011226A">
      <w:pPr>
        <w:rPr>
          <w:rFonts w:ascii="Baskerville Old Face" w:hAnsi="Baskerville Old Face"/>
        </w:rPr>
      </w:pPr>
    </w:p>
    <w:p w14:paraId="29500448" w14:textId="77777777" w:rsidR="0011226A" w:rsidRPr="0011226A" w:rsidRDefault="0011226A">
      <w:pPr>
        <w:rPr>
          <w:rFonts w:ascii="Baskerville Old Face" w:hAnsi="Baskerville Old Face"/>
        </w:rPr>
      </w:pPr>
    </w:p>
    <w:p w14:paraId="66BD8601" w14:textId="7DC1136C" w:rsidR="0011226A" w:rsidRPr="0011226A" w:rsidRDefault="0011226A">
      <w:pPr>
        <w:rPr>
          <w:rFonts w:ascii="Baskerville Old Face" w:hAnsi="Baskerville Old Face"/>
          <w:b/>
          <w:bCs/>
        </w:rPr>
      </w:pPr>
      <w:r w:rsidRPr="0011226A">
        <w:rPr>
          <w:rFonts w:ascii="Baskerville Old Face" w:hAnsi="Baskerville Old Face"/>
          <w:b/>
          <w:bCs/>
        </w:rPr>
        <w:lastRenderedPageBreak/>
        <w:t>Reflexión del caso:</w:t>
      </w:r>
    </w:p>
    <w:p w14:paraId="712A48CA" w14:textId="77777777" w:rsidR="0011226A" w:rsidRPr="0011226A" w:rsidRDefault="0011226A">
      <w:pPr>
        <w:rPr>
          <w:rFonts w:ascii="Baskerville Old Face" w:hAnsi="Baskerville Old Face"/>
        </w:rPr>
      </w:pPr>
    </w:p>
    <w:p w14:paraId="7FBF53B9" w14:textId="77777777" w:rsidR="0011226A" w:rsidRPr="0011226A" w:rsidRDefault="0011226A">
      <w:pPr>
        <w:rPr>
          <w:rFonts w:ascii="Baskerville Old Face" w:hAnsi="Baskerville Old Face"/>
        </w:rPr>
      </w:pPr>
      <w:r w:rsidRPr="0011226A">
        <w:rPr>
          <w:rFonts w:ascii="Baskerville Old Face" w:hAnsi="Baskerville Old Face"/>
        </w:rPr>
        <w:t>Eres</w:t>
      </w:r>
      <w:r w:rsidR="00057469" w:rsidRPr="0011226A">
        <w:rPr>
          <w:rFonts w:ascii="Baskerville Old Face" w:hAnsi="Baskerville Old Face"/>
        </w:rPr>
        <w:t xml:space="preserve"> el responsable que atiende a esta paciente cuando está lista para el alta hospitalaria 3 días después. Ella no ha tenido ninguna recurrencia de fibrilación auricular desde el episodio inicial. </w:t>
      </w:r>
      <w:proofErr w:type="gramStart"/>
      <w:r w:rsidRPr="0011226A">
        <w:rPr>
          <w:rFonts w:ascii="Baskerville Old Face" w:hAnsi="Baskerville Old Face"/>
        </w:rPr>
        <w:t>Crees</w:t>
      </w:r>
      <w:proofErr w:type="gramEnd"/>
      <w:r w:rsidRPr="0011226A">
        <w:rPr>
          <w:rFonts w:ascii="Baskerville Old Face" w:hAnsi="Baskerville Old Face"/>
        </w:rPr>
        <w:t xml:space="preserve"> además,</w:t>
      </w:r>
      <w:r w:rsidR="00057469" w:rsidRPr="0011226A">
        <w:rPr>
          <w:rFonts w:ascii="Baskerville Old Face" w:hAnsi="Baskerville Old Face"/>
        </w:rPr>
        <w:t xml:space="preserve"> que la fibrilación auricular secundaria tiene un alto riesgo de recurrencia y puede conferir un mayor riesgo de accidente cerebrovascular isquémico. </w:t>
      </w:r>
    </w:p>
    <w:p w14:paraId="5E9F27A6" w14:textId="59A3E61A" w:rsidR="00494D88" w:rsidRPr="0011226A" w:rsidRDefault="00057469">
      <w:pPr>
        <w:rPr>
          <w:rFonts w:ascii="Baskerville Old Face" w:hAnsi="Baskerville Old Face"/>
        </w:rPr>
      </w:pPr>
      <w:r w:rsidRPr="0011226A">
        <w:rPr>
          <w:rFonts w:ascii="Baskerville Old Face" w:hAnsi="Baskerville Old Face"/>
        </w:rPr>
        <w:t xml:space="preserve">Los agentes anticoagulantes pueden mitigar estos riesgos; sin embargo, la anticoagulación puede tener efectos secundarios adversos graves. </w:t>
      </w:r>
    </w:p>
    <w:p w14:paraId="0135B2CB" w14:textId="77777777" w:rsidR="0011226A" w:rsidRPr="0011226A" w:rsidRDefault="0011226A">
      <w:pPr>
        <w:rPr>
          <w:rFonts w:ascii="Baskerville Old Face" w:hAnsi="Baskerville Old Face"/>
        </w:rPr>
      </w:pPr>
    </w:p>
    <w:p w14:paraId="1F7A2A71" w14:textId="0418B778" w:rsidR="002878C8" w:rsidRPr="0011226A" w:rsidRDefault="00057469">
      <w:pPr>
        <w:rPr>
          <w:rFonts w:ascii="Baskerville Old Face" w:hAnsi="Baskerville Old Face"/>
          <w:i/>
          <w:iCs/>
          <w:color w:val="FF0000"/>
        </w:rPr>
      </w:pPr>
      <w:r w:rsidRPr="0011226A">
        <w:rPr>
          <w:rFonts w:ascii="Baskerville Old Face" w:hAnsi="Baskerville Old Face"/>
          <w:i/>
          <w:iCs/>
          <w:color w:val="FF0000"/>
        </w:rPr>
        <w:t>Debe</w:t>
      </w:r>
      <w:r w:rsidR="0011226A" w:rsidRPr="0011226A">
        <w:rPr>
          <w:rFonts w:ascii="Baskerville Old Face" w:hAnsi="Baskerville Old Face"/>
          <w:i/>
          <w:iCs/>
          <w:color w:val="FF0000"/>
        </w:rPr>
        <w:t>s</w:t>
      </w:r>
      <w:r w:rsidRPr="0011226A">
        <w:rPr>
          <w:rFonts w:ascii="Baskerville Old Face" w:hAnsi="Baskerville Old Face"/>
          <w:i/>
          <w:iCs/>
          <w:color w:val="FF0000"/>
        </w:rPr>
        <w:t xml:space="preserve"> decidir </w:t>
      </w:r>
      <w:r w:rsidRPr="0011226A">
        <w:rPr>
          <w:rFonts w:ascii="Baskerville Old Face" w:hAnsi="Baskerville Old Face"/>
          <w:b/>
          <w:bCs/>
          <w:i/>
          <w:iCs/>
          <w:color w:val="FF0000"/>
        </w:rPr>
        <w:t>si recomienda o no la terapia anticoagulante</w:t>
      </w:r>
      <w:r w:rsidRPr="0011226A">
        <w:rPr>
          <w:rFonts w:ascii="Baskerville Old Face" w:hAnsi="Baskerville Old Face"/>
          <w:i/>
          <w:iCs/>
          <w:color w:val="FF0000"/>
        </w:rPr>
        <w:t xml:space="preserve"> para este paciente después del alta.</w:t>
      </w:r>
    </w:p>
    <w:p w14:paraId="2490160A" w14:textId="77777777" w:rsidR="00057469" w:rsidRPr="0011226A" w:rsidRDefault="00057469">
      <w:pPr>
        <w:rPr>
          <w:rFonts w:ascii="Baskerville Old Face" w:hAnsi="Baskerville Old Face"/>
        </w:rPr>
      </w:pPr>
    </w:p>
    <w:p w14:paraId="500DB0E4" w14:textId="77777777" w:rsidR="00057469" w:rsidRPr="0011226A" w:rsidRDefault="00057469">
      <w:pPr>
        <w:rPr>
          <w:rFonts w:ascii="Baskerville Old Face" w:hAnsi="Baskerville Old Face"/>
          <w:b/>
          <w:bCs/>
        </w:rPr>
      </w:pPr>
      <w:r w:rsidRPr="0011226A">
        <w:rPr>
          <w:rFonts w:ascii="Baskerville Old Face" w:hAnsi="Baskerville Old Face"/>
          <w:b/>
          <w:bCs/>
        </w:rPr>
        <w:t xml:space="preserve">Opciones de tratamiento </w:t>
      </w:r>
    </w:p>
    <w:p w14:paraId="5D641BDA" w14:textId="77777777" w:rsidR="0011226A" w:rsidRPr="0011226A" w:rsidRDefault="0011226A">
      <w:pPr>
        <w:rPr>
          <w:rFonts w:ascii="Baskerville Old Face" w:hAnsi="Baskerville Old Face"/>
          <w:b/>
          <w:bCs/>
        </w:rPr>
      </w:pPr>
    </w:p>
    <w:p w14:paraId="1E19E0B8" w14:textId="7DE84149" w:rsidR="0011226A" w:rsidRPr="0011226A" w:rsidRDefault="00057469">
      <w:pPr>
        <w:rPr>
          <w:rFonts w:ascii="Baskerville Old Face" w:hAnsi="Baskerville Old Face"/>
          <w:i/>
          <w:iCs/>
        </w:rPr>
      </w:pPr>
      <w:r w:rsidRPr="0011226A">
        <w:rPr>
          <w:rFonts w:ascii="Baskerville Old Face" w:hAnsi="Baskerville Old Face"/>
          <w:i/>
          <w:iCs/>
        </w:rPr>
        <w:t>¿Cuál de los siguientes enfoques recomendaría</w:t>
      </w:r>
      <w:r w:rsidR="0011226A" w:rsidRPr="0011226A">
        <w:rPr>
          <w:rFonts w:ascii="Baskerville Old Face" w:hAnsi="Baskerville Old Face"/>
          <w:i/>
          <w:iCs/>
        </w:rPr>
        <w:t>s</w:t>
      </w:r>
      <w:r w:rsidRPr="0011226A">
        <w:rPr>
          <w:rFonts w:ascii="Baskerville Old Face" w:hAnsi="Baskerville Old Face"/>
          <w:i/>
          <w:iCs/>
        </w:rPr>
        <w:t xml:space="preserve"> para este paciente? Bas</w:t>
      </w:r>
      <w:r w:rsidR="0011226A" w:rsidRPr="0011226A">
        <w:rPr>
          <w:rFonts w:ascii="Baskerville Old Face" w:hAnsi="Baskerville Old Face"/>
          <w:i/>
          <w:iCs/>
        </w:rPr>
        <w:t>a</w:t>
      </w:r>
      <w:r w:rsidRPr="0011226A">
        <w:rPr>
          <w:rFonts w:ascii="Baskerville Old Face" w:hAnsi="Baskerville Old Face"/>
          <w:i/>
          <w:iCs/>
        </w:rPr>
        <w:t xml:space="preserve"> </w:t>
      </w:r>
      <w:r w:rsidR="0011226A" w:rsidRPr="0011226A">
        <w:rPr>
          <w:rFonts w:ascii="Baskerville Old Face" w:hAnsi="Baskerville Old Face"/>
          <w:i/>
          <w:iCs/>
        </w:rPr>
        <w:t>tu</w:t>
      </w:r>
      <w:r w:rsidRPr="0011226A">
        <w:rPr>
          <w:rFonts w:ascii="Baskerville Old Face" w:hAnsi="Baskerville Old Face"/>
          <w:i/>
          <w:iCs/>
        </w:rPr>
        <w:t xml:space="preserve"> elección en la literatura publicada, </w:t>
      </w:r>
      <w:r w:rsidR="0011226A" w:rsidRPr="0011226A">
        <w:rPr>
          <w:rFonts w:ascii="Baskerville Old Face" w:hAnsi="Baskerville Old Face"/>
          <w:i/>
          <w:iCs/>
        </w:rPr>
        <w:t>tu</w:t>
      </w:r>
      <w:r w:rsidRPr="0011226A">
        <w:rPr>
          <w:rFonts w:ascii="Baskerville Old Face" w:hAnsi="Baskerville Old Face"/>
          <w:i/>
          <w:iCs/>
        </w:rPr>
        <w:t xml:space="preserve"> propia experiencia, directrices y otras fuentes de información, según corresponda.</w:t>
      </w:r>
    </w:p>
    <w:p w14:paraId="3A938087" w14:textId="648D5C46" w:rsidR="00057469" w:rsidRPr="0011226A" w:rsidRDefault="00057469">
      <w:pPr>
        <w:rPr>
          <w:rFonts w:ascii="Baskerville Old Face" w:hAnsi="Baskerville Old Face"/>
          <w:i/>
          <w:iCs/>
        </w:rPr>
      </w:pPr>
      <w:r w:rsidRPr="0011226A">
        <w:rPr>
          <w:rFonts w:ascii="Baskerville Old Face" w:hAnsi="Baskerville Old Face"/>
          <w:i/>
          <w:iCs/>
        </w:rPr>
        <w:t xml:space="preserve"> </w:t>
      </w:r>
    </w:p>
    <w:p w14:paraId="41ED9A1C" w14:textId="77777777" w:rsidR="00057469" w:rsidRPr="0011226A" w:rsidRDefault="00057469">
      <w:pPr>
        <w:rPr>
          <w:rFonts w:ascii="Baskerville Old Face" w:hAnsi="Baskerville Old Face"/>
        </w:rPr>
      </w:pPr>
      <w:r w:rsidRPr="0011226A">
        <w:rPr>
          <w:rFonts w:ascii="Baskerville Old Face" w:hAnsi="Baskerville Old Face"/>
        </w:rPr>
        <w:t xml:space="preserve">1. Recomienda la terapia anticoagulante. </w:t>
      </w:r>
    </w:p>
    <w:p w14:paraId="0DB95A15" w14:textId="77777777" w:rsidR="00057469" w:rsidRPr="0011226A" w:rsidRDefault="00057469">
      <w:pPr>
        <w:rPr>
          <w:rFonts w:ascii="Baskerville Old Face" w:hAnsi="Baskerville Old Face"/>
        </w:rPr>
      </w:pPr>
      <w:r w:rsidRPr="0011226A">
        <w:rPr>
          <w:rFonts w:ascii="Baskerville Old Face" w:hAnsi="Baskerville Old Face"/>
        </w:rPr>
        <w:t xml:space="preserve">2. No se recomienda la terapia anticoagulante. </w:t>
      </w:r>
    </w:p>
    <w:p w14:paraId="0EC2F3D2" w14:textId="77777777" w:rsidR="00057469" w:rsidRPr="0011226A" w:rsidRDefault="00057469">
      <w:pPr>
        <w:rPr>
          <w:rFonts w:ascii="Baskerville Old Face" w:hAnsi="Baskerville Old Face"/>
        </w:rPr>
      </w:pPr>
    </w:p>
    <w:p w14:paraId="50857E64" w14:textId="77777777" w:rsidR="0011226A" w:rsidRPr="0011226A" w:rsidRDefault="00057469">
      <w:pPr>
        <w:rPr>
          <w:rFonts w:ascii="Baskerville Old Face" w:hAnsi="Baskerville Old Face"/>
        </w:rPr>
      </w:pPr>
      <w:r w:rsidRPr="0011226A">
        <w:rPr>
          <w:rFonts w:ascii="Baskerville Old Face" w:hAnsi="Baskerville Old Face"/>
        </w:rPr>
        <w:t xml:space="preserve">Para ayudar en su toma de decisiones, pedimos a dos expertos en el campo que resumieran la evidencia a favor de los enfoques asignados por los editores. </w:t>
      </w:r>
    </w:p>
    <w:p w14:paraId="5ED84EA5" w14:textId="77777777" w:rsidR="0011226A" w:rsidRPr="0011226A" w:rsidRDefault="0011226A">
      <w:pPr>
        <w:rPr>
          <w:rFonts w:ascii="Baskerville Old Face" w:hAnsi="Baskerville Old Face"/>
        </w:rPr>
      </w:pPr>
    </w:p>
    <w:p w14:paraId="0E668017" w14:textId="2B4DFB17" w:rsidR="00057469" w:rsidRPr="0011226A" w:rsidRDefault="00057469">
      <w:pPr>
        <w:rPr>
          <w:rFonts w:ascii="Baskerville Old Face" w:hAnsi="Baskerville Old Face"/>
        </w:rPr>
      </w:pPr>
      <w:r w:rsidRPr="0011226A">
        <w:rPr>
          <w:rFonts w:ascii="Baskerville Old Face" w:hAnsi="Baskerville Old Face"/>
        </w:rPr>
        <w:t>Teniendo en cuenta su conocimiento del tema y los puntos planteados por los expertos, ¿qué enfoque elegiría</w:t>
      </w:r>
      <w:r w:rsidR="0011226A" w:rsidRPr="0011226A">
        <w:rPr>
          <w:rFonts w:ascii="Baskerville Old Face" w:hAnsi="Baskerville Old Face"/>
        </w:rPr>
        <w:t>s</w:t>
      </w:r>
      <w:r w:rsidRPr="0011226A">
        <w:rPr>
          <w:rFonts w:ascii="Baskerville Old Face" w:hAnsi="Baskerville Old Face"/>
        </w:rPr>
        <w:t>?</w:t>
      </w:r>
    </w:p>
    <w:p w14:paraId="063C3593" w14:textId="77777777" w:rsidR="00263487" w:rsidRPr="0011226A" w:rsidRDefault="00263487">
      <w:pPr>
        <w:rPr>
          <w:rFonts w:ascii="Baskerville Old Face" w:hAnsi="Baskerville Old Face"/>
        </w:rPr>
      </w:pPr>
    </w:p>
    <w:p w14:paraId="4C8A08E0" w14:textId="7F3A2C39" w:rsidR="00263487" w:rsidRPr="0011226A" w:rsidRDefault="00263487" w:rsidP="0011226A">
      <w:pPr>
        <w:rPr>
          <w:rFonts w:ascii="Baskerville Old Face" w:hAnsi="Baskerville Old Face"/>
          <w:b/>
          <w:bCs/>
          <w:color w:val="FF0000"/>
          <w:u w:val="single"/>
        </w:rPr>
      </w:pPr>
      <w:r w:rsidRPr="0011226A">
        <w:rPr>
          <w:rFonts w:ascii="Baskerville Old Face" w:hAnsi="Baskerville Old Face"/>
          <w:b/>
          <w:bCs/>
          <w:color w:val="FF0000"/>
          <w:u w:val="single"/>
        </w:rPr>
        <w:t>Recom</w:t>
      </w:r>
      <w:r w:rsidR="00D76B1C" w:rsidRPr="0011226A">
        <w:rPr>
          <w:rFonts w:ascii="Baskerville Old Face" w:hAnsi="Baskerville Old Face"/>
          <w:b/>
          <w:bCs/>
          <w:color w:val="FF0000"/>
          <w:u w:val="single"/>
        </w:rPr>
        <w:t>endada</w:t>
      </w:r>
      <w:r w:rsidRPr="0011226A">
        <w:rPr>
          <w:rFonts w:ascii="Baskerville Old Face" w:hAnsi="Baskerville Old Face"/>
          <w:b/>
          <w:bCs/>
          <w:color w:val="FF0000"/>
          <w:u w:val="single"/>
        </w:rPr>
        <w:t xml:space="preserve"> la terapia anticoagulante </w:t>
      </w:r>
    </w:p>
    <w:p w14:paraId="577F020D" w14:textId="77777777" w:rsidR="00494D88" w:rsidRPr="0011226A" w:rsidRDefault="00494D88">
      <w:pPr>
        <w:rPr>
          <w:rFonts w:ascii="Baskerville Old Face" w:hAnsi="Baskerville Old Face"/>
          <w:i/>
          <w:iCs/>
        </w:rPr>
      </w:pPr>
    </w:p>
    <w:p w14:paraId="0155FDD9" w14:textId="7F289548" w:rsidR="00263487" w:rsidRPr="0011226A" w:rsidRDefault="00263487">
      <w:pPr>
        <w:rPr>
          <w:rFonts w:ascii="Baskerville Old Face" w:hAnsi="Baskerville Old Face"/>
        </w:rPr>
      </w:pPr>
      <w:r w:rsidRPr="0011226A">
        <w:rPr>
          <w:rFonts w:ascii="Baskerville Old Face" w:hAnsi="Baskerville Old Face"/>
        </w:rPr>
        <w:t xml:space="preserve">Los pacientes en los que se desarrolla una </w:t>
      </w:r>
      <w:r w:rsidR="00494D88" w:rsidRPr="0011226A">
        <w:rPr>
          <w:rFonts w:ascii="Baskerville Old Face" w:hAnsi="Baskerville Old Face"/>
        </w:rPr>
        <w:t>fibrilación auricular de novo</w:t>
      </w:r>
      <w:r w:rsidRPr="0011226A">
        <w:rPr>
          <w:rFonts w:ascii="Baskerville Old Face" w:hAnsi="Baskerville Old Face"/>
        </w:rPr>
        <w:t xml:space="preserve"> a partir de una causa secundaria tienen un alto riesgo de futuros eventos cardiovasculares, incluido el accidente cerebrovascular, si no reciben terapia anticoagulante. La neumonía adquirida en la comunidad puede tener en este paciente una predisposición a la fibrilación auricular sin enmascarar. Además, puede haber tenido episodios no detectados y asintomáticos de fibrilación auricular antes de su ingreso en el hospital y antes de que la fibrilación auricular fuera diagnosticada por electrocardiografía.</w:t>
      </w:r>
    </w:p>
    <w:p w14:paraId="3E13E303" w14:textId="77777777" w:rsidR="00263487" w:rsidRPr="0011226A" w:rsidRDefault="00263487">
      <w:pPr>
        <w:rPr>
          <w:rFonts w:ascii="Baskerville Old Face" w:hAnsi="Baskerville Old Face"/>
        </w:rPr>
      </w:pPr>
    </w:p>
    <w:p w14:paraId="2F004FF9" w14:textId="5EDAEC02" w:rsidR="00263487" w:rsidRPr="0011226A" w:rsidRDefault="00263487">
      <w:pPr>
        <w:rPr>
          <w:rFonts w:ascii="Baskerville Old Face" w:hAnsi="Baskerville Old Face"/>
        </w:rPr>
      </w:pPr>
      <w:r w:rsidRPr="0011226A">
        <w:rPr>
          <w:rFonts w:ascii="Baskerville Old Face" w:hAnsi="Baskerville Old Face"/>
        </w:rPr>
        <w:t xml:space="preserve">Aunque no ha tenido una recurrencia aparente de fibrilación auricular en los 3 días transcurridos desde el diagnóstico, puede seguir teniendo episodios que no están diagnosticados. En el Framingham Heart </w:t>
      </w:r>
      <w:proofErr w:type="spellStart"/>
      <w:r w:rsidRPr="0011226A">
        <w:rPr>
          <w:rFonts w:ascii="Baskerville Old Face" w:hAnsi="Baskerville Old Face"/>
        </w:rPr>
        <w:t>Study</w:t>
      </w:r>
      <w:proofErr w:type="spellEnd"/>
      <w:r w:rsidRPr="0011226A">
        <w:rPr>
          <w:rFonts w:ascii="Baskerville Old Face" w:hAnsi="Baskerville Old Face"/>
        </w:rPr>
        <w:t>, cuando se evaluaron los primeros episodios de fibrilación auricular con un precipitante secundario, la incidencia de recurrencia a 5 años fue del 42 %, la incidencia a 10 años fue del 56 % y la incidencia a 15 años fue del 62 %, en comparación con el 59 %, el 69 % y el 71 %, respectivamente, en pacientes sin precipitantes secundarios. La presencia de síntomas no es una buena manera de indicar si se producen episodios de fibrilación auricular, y esta paciente fue asintomática durante su episodio. En muchos pacientes con fibrilación auricular, la búsqueda de la arritmia requiere que busquemos más duro, más largo y de manera más sofisticada. Con el creciente uso de tecnologías digitales y dispositivos portátiles (por ejemplo, teléfonos inteligentes o relojes inteligentes), dicha monitorización puede facilitar la detección de las recurrencias de la fibrilación auricular.</w:t>
      </w:r>
    </w:p>
    <w:p w14:paraId="74ACC22A" w14:textId="77777777" w:rsidR="00494D88" w:rsidRPr="0011226A" w:rsidRDefault="00494D88">
      <w:pPr>
        <w:rPr>
          <w:rFonts w:ascii="Baskerville Old Face" w:hAnsi="Baskerville Old Face"/>
        </w:rPr>
      </w:pPr>
    </w:p>
    <w:p w14:paraId="1594CDD6" w14:textId="226E04EB" w:rsidR="00263487" w:rsidRPr="0011226A" w:rsidRDefault="00263487">
      <w:pPr>
        <w:rPr>
          <w:rFonts w:ascii="Baskerville Old Face" w:hAnsi="Baskerville Old Face"/>
        </w:rPr>
      </w:pPr>
      <w:r w:rsidRPr="0011226A">
        <w:rPr>
          <w:rFonts w:ascii="Baskerville Old Face" w:hAnsi="Baskerville Old Face"/>
        </w:rPr>
        <w:t>Sin embargo, esta mujer tiene más de 65 años de edad y tiene múltiples factores de riesgo de accidente cerebrovascular, incluyendo hipertensión y diabetes. Su puntuación CHA2DS2-VASc es de 4 (las puntuaciones oscilan entre 0 y 9, con puntuaciones más altas que indican un mayor riesgo de accidente cerebrovascular), lo que la pone en alto riesgo de accidente cerebrovascular si se repite la fibrilación auricular, incluso si es asintomática. El riesgo asociado con episodios asintomáticos de fibrilación auricular es similar al de episodios sintomáticos cuando el paciente tiene factores de riesgo de accidente cerebrovascular. Dado que la carga de la arritmia puede cambiar con el tiempo, su riesgo de accidente cerebrovascular no es estático y aumentaría potencialmente si su fibrilación auricular progresara de parox</w:t>
      </w:r>
      <w:r w:rsidR="00EC68FD" w:rsidRPr="0011226A">
        <w:rPr>
          <w:rFonts w:ascii="Baskerville Old Face" w:hAnsi="Baskerville Old Face"/>
        </w:rPr>
        <w:t>ística</w:t>
      </w:r>
      <w:r w:rsidRPr="0011226A">
        <w:rPr>
          <w:rFonts w:ascii="Baskerville Old Face" w:hAnsi="Baskerville Old Face"/>
        </w:rPr>
        <w:t xml:space="preserve"> a sostenida.</w:t>
      </w:r>
    </w:p>
    <w:p w14:paraId="574D097E" w14:textId="77777777" w:rsidR="00EC68FD" w:rsidRPr="0011226A" w:rsidRDefault="00EC68FD">
      <w:pPr>
        <w:rPr>
          <w:rFonts w:ascii="Baskerville Old Face" w:hAnsi="Baskerville Old Face"/>
          <w:b/>
          <w:bCs/>
        </w:rPr>
      </w:pPr>
    </w:p>
    <w:p w14:paraId="4EB38B84" w14:textId="37294A12" w:rsidR="00EC68FD" w:rsidRPr="0011226A" w:rsidRDefault="00EC68FD">
      <w:pPr>
        <w:rPr>
          <w:rFonts w:ascii="Baskerville Old Face" w:hAnsi="Baskerville Old Face"/>
        </w:rPr>
      </w:pPr>
      <w:r w:rsidRPr="0011226A">
        <w:rPr>
          <w:rFonts w:ascii="Baskerville Old Face" w:hAnsi="Baskerville Old Face"/>
        </w:rPr>
        <w:t xml:space="preserve">Aunque se necesita una anticoagulación oral para la prevención del accidente cerebrovascular en este paciente, los pacientes que reciben terapia anticoagulante todavía tienen un riesgo residual de eventos cardiovasculares adversos graves y muerte. El manejo para esta paciente  </w:t>
      </w:r>
      <w:r w:rsidR="0011226A">
        <w:rPr>
          <w:rFonts w:ascii="Baskerville Old Face" w:hAnsi="Baskerville Old Face"/>
        </w:rPr>
        <w:t>(</w:t>
      </w:r>
      <w:r w:rsidRPr="0011226A">
        <w:rPr>
          <w:rFonts w:ascii="Baskerville Old Face" w:hAnsi="Baskerville Old Face"/>
        </w:rPr>
        <w:t>similar a la de los pacientes que presentan fibrilación auricular primaria</w:t>
      </w:r>
      <w:r w:rsidR="0011226A">
        <w:rPr>
          <w:rFonts w:ascii="Baskerville Old Face" w:hAnsi="Baskerville Old Face"/>
        </w:rPr>
        <w:t xml:space="preserve">) </w:t>
      </w:r>
      <w:r w:rsidRPr="0011226A">
        <w:rPr>
          <w:rFonts w:ascii="Baskerville Old Face" w:hAnsi="Baskerville Old Face"/>
        </w:rPr>
        <w:t xml:space="preserve">debe ser un enfoque de manejo holístico y la adhesión a las directrices de las guías de Atrial </w:t>
      </w:r>
      <w:proofErr w:type="spellStart"/>
      <w:r w:rsidRPr="0011226A">
        <w:rPr>
          <w:rFonts w:ascii="Baskerville Old Face" w:hAnsi="Baskerville Old Face"/>
        </w:rPr>
        <w:t>fibrillation</w:t>
      </w:r>
      <w:proofErr w:type="spellEnd"/>
      <w:r w:rsidRPr="0011226A">
        <w:rPr>
          <w:rFonts w:ascii="Baskerville Old Face" w:hAnsi="Baskerville Old Face"/>
        </w:rPr>
        <w:t xml:space="preserve"> </w:t>
      </w:r>
      <w:proofErr w:type="spellStart"/>
      <w:r w:rsidRPr="0011226A">
        <w:rPr>
          <w:rFonts w:ascii="Baskerville Old Face" w:hAnsi="Baskerville Old Face"/>
        </w:rPr>
        <w:t>Better</w:t>
      </w:r>
      <w:proofErr w:type="spellEnd"/>
      <w:r w:rsidRPr="0011226A">
        <w:rPr>
          <w:rFonts w:ascii="Baskerville Old Face" w:hAnsi="Baskerville Old Face"/>
        </w:rPr>
        <w:t xml:space="preserve"> Care (ABC): evitar el accidente cerebrovascular con el uso de anticoagulación a menos que el paciente esté en bajo riesgo (puntuación CHA2DS2-VASc de 0 en hombres o 1 en mujeres); un mejor manejo de los síntomas con decisiones centradas en el paciente y dirigidas a los síntomas sobre control de frecuencia o del ritmo (el control temprano del ritmo puede ser beneficioso en pacientes seleccionados); y manejo de los factores de riesgo cardiovascular y las condiciones coexistentes, incluida la atención a estilo de vida y factores psicológicos. La adhesión a la guía ABC se ha asociado con una reducción de la mortalidad por todas las causas, la mortalidad cardiovascular, el accidente cerebrovascular y el sangrado, independientemente de si la fibrilación auricular es primaria o se atribuye a causas secundarias.</w:t>
      </w:r>
    </w:p>
    <w:p w14:paraId="7C1FCAE3" w14:textId="77777777" w:rsidR="00954DF8" w:rsidRPr="0011226A" w:rsidRDefault="00954DF8">
      <w:pPr>
        <w:rPr>
          <w:rFonts w:ascii="Baskerville Old Face" w:hAnsi="Baskerville Old Face"/>
          <w:b/>
          <w:bCs/>
        </w:rPr>
      </w:pPr>
    </w:p>
    <w:p w14:paraId="18C241AE" w14:textId="31882995" w:rsidR="00954DF8" w:rsidRPr="0077483F" w:rsidRDefault="00954DF8">
      <w:pPr>
        <w:rPr>
          <w:rFonts w:ascii="Baskerville Old Face" w:hAnsi="Baskerville Old Face"/>
        </w:rPr>
      </w:pPr>
      <w:r w:rsidRPr="0077483F">
        <w:rPr>
          <w:rFonts w:ascii="Baskerville Old Face" w:hAnsi="Baskerville Old Face"/>
        </w:rPr>
        <w:t xml:space="preserve">En resumen, </w:t>
      </w:r>
      <w:r w:rsidRPr="0077483F">
        <w:rPr>
          <w:rFonts w:ascii="Baskerville Old Face" w:hAnsi="Baskerville Old Face"/>
          <w:b/>
          <w:bCs/>
        </w:rPr>
        <w:t>a este paciente se le debe ofrecer terapia anticoagulante oral</w:t>
      </w:r>
      <w:r w:rsidRPr="0077483F">
        <w:rPr>
          <w:rFonts w:ascii="Baskerville Old Face" w:hAnsi="Baskerville Old Face"/>
        </w:rPr>
        <w:t xml:space="preserve"> como parte del manejo holístico general de la fibrilación auricular. La prevención de accidentes cerebrovasculares requiere la anticoagulación oral, siendo la opción preferida un anticoagulante oral directo. La aspirina no es la solución porque apenas reduce el accidente cerebrovascular relacionado con la fibrilación auricular y no parece diferir de los anticoagulantes orales directos en términos del riesgo de sangrado mayor o hemorragia intracraneal.</w:t>
      </w:r>
    </w:p>
    <w:p w14:paraId="6E1EEECB" w14:textId="77777777" w:rsidR="00F9753A" w:rsidRPr="0011226A" w:rsidRDefault="00F9753A">
      <w:pPr>
        <w:rPr>
          <w:rFonts w:ascii="Baskerville Old Face" w:hAnsi="Baskerville Old Face"/>
          <w:b/>
          <w:bCs/>
        </w:rPr>
      </w:pPr>
    </w:p>
    <w:p w14:paraId="48B5A603" w14:textId="77777777" w:rsidR="00F9753A" w:rsidRPr="0011226A" w:rsidRDefault="00F9753A">
      <w:pPr>
        <w:rPr>
          <w:rFonts w:ascii="Baskerville Old Face" w:hAnsi="Baskerville Old Face"/>
          <w:b/>
          <w:bCs/>
        </w:rPr>
      </w:pPr>
    </w:p>
    <w:p w14:paraId="5F79C8F0" w14:textId="77777777" w:rsidR="0011226A" w:rsidRPr="0011226A" w:rsidRDefault="0011226A" w:rsidP="0011226A">
      <w:pPr>
        <w:rPr>
          <w:rFonts w:ascii="Baskerville Old Face" w:hAnsi="Baskerville Old Face"/>
        </w:rPr>
      </w:pPr>
    </w:p>
    <w:p w14:paraId="216777AB" w14:textId="53041A82" w:rsidR="00F9753A" w:rsidRPr="0011226A" w:rsidRDefault="00F9753A" w:rsidP="0011226A">
      <w:pPr>
        <w:rPr>
          <w:rFonts w:ascii="Baskerville Old Face" w:hAnsi="Baskerville Old Face"/>
          <w:b/>
          <w:bCs/>
          <w:color w:val="FF0000"/>
          <w:u w:val="single"/>
        </w:rPr>
      </w:pPr>
      <w:r w:rsidRPr="0011226A">
        <w:rPr>
          <w:rFonts w:ascii="Baskerville Old Face" w:hAnsi="Baskerville Old Face"/>
          <w:b/>
          <w:bCs/>
          <w:color w:val="FF0000"/>
          <w:u w:val="single"/>
        </w:rPr>
        <w:t>No Recomienda La Terapia Anticoagulante:</w:t>
      </w:r>
    </w:p>
    <w:p w14:paraId="53F8BD7D" w14:textId="77777777" w:rsidR="0011226A" w:rsidRPr="0011226A" w:rsidRDefault="0011226A" w:rsidP="0011226A">
      <w:pPr>
        <w:rPr>
          <w:rFonts w:ascii="Baskerville Old Face" w:hAnsi="Baskerville Old Face"/>
        </w:rPr>
      </w:pPr>
    </w:p>
    <w:p w14:paraId="738BD8DD" w14:textId="3A5F704E" w:rsidR="00F9753A" w:rsidRDefault="00F9753A">
      <w:pPr>
        <w:rPr>
          <w:rFonts w:ascii="Baskerville Old Face" w:hAnsi="Baskerville Old Face"/>
        </w:rPr>
      </w:pPr>
      <w:r w:rsidRPr="0011226A">
        <w:rPr>
          <w:rFonts w:ascii="Baskerville Old Face" w:hAnsi="Baskerville Old Face"/>
        </w:rPr>
        <w:t xml:space="preserve">El siguiente caso describe a un paciente sin antecedentes de fibrilación auricular en el que se le diagnosticó fibrilación auricular por primera vez durante una hospitalización por sepsis. Ella no tiene antecedentes conocidos de miocardiopatía o accidente cerebrovascular isquémico. Se nos pide que decidamos si se debe recetar una anticoagulación oral a largo plazo para esta paciente cuando sea dada de alta del hospital. La </w:t>
      </w:r>
      <w:r w:rsidR="0077483F" w:rsidRPr="0011226A">
        <w:rPr>
          <w:rFonts w:ascii="Baskerville Old Face" w:hAnsi="Baskerville Old Face"/>
        </w:rPr>
        <w:t>fibrilación</w:t>
      </w:r>
      <w:r w:rsidRPr="0011226A">
        <w:rPr>
          <w:rFonts w:ascii="Baskerville Old Face" w:hAnsi="Baskerville Old Face"/>
        </w:rPr>
        <w:t xml:space="preserve"> auricular de nueva aparición está presente en el 8 al 10 % de los pacientes hospitalizados con sepsis y hasta un 44 % con shock séptico. Según la Declaración Científica de la Asociación Americana del Corazón sobre la fibrilación auricular que ocurre durante la hospitalización aguda, en ausencia de contraindicaciones a la </w:t>
      </w:r>
      <w:r w:rsidRPr="0011226A">
        <w:rPr>
          <w:rFonts w:ascii="Baskerville Old Face" w:hAnsi="Baskerville Old Face"/>
        </w:rPr>
        <w:lastRenderedPageBreak/>
        <w:t>anticoagulación oral, la anticoagulación oral a largo plazo de acuerdo con el riesgo de accidente cerebrovascular "puede ser razonable" sobre la base del alto riesgo de recurrencia para los pacientes con fibrilación auricular recién diagnosticada en el contexto de desencadenantes agudos.</w:t>
      </w:r>
    </w:p>
    <w:p w14:paraId="6ED147C8" w14:textId="77777777" w:rsidR="0077483F" w:rsidRPr="0011226A" w:rsidRDefault="0077483F">
      <w:pPr>
        <w:rPr>
          <w:rFonts w:ascii="Baskerville Old Face" w:hAnsi="Baskerville Old Face"/>
        </w:rPr>
      </w:pPr>
    </w:p>
    <w:p w14:paraId="67572D1F" w14:textId="21D9C70D" w:rsidR="00F9753A" w:rsidRPr="0011226A" w:rsidRDefault="00F9753A">
      <w:pPr>
        <w:rPr>
          <w:rFonts w:ascii="Baskerville Old Face" w:hAnsi="Baskerville Old Face"/>
        </w:rPr>
      </w:pPr>
      <w:r w:rsidRPr="0011226A">
        <w:rPr>
          <w:rFonts w:ascii="Baskerville Old Face" w:hAnsi="Baskerville Old Face"/>
        </w:rPr>
        <w:t xml:space="preserve">Sin embargo, es importante considerar no solo el riesgo de recurrencia de la fibrilación auricular, sino también la evidencia con respecto a la eficacia de la anticoagulación oral a largo plazo iniciada después de una nueva fibrilación auricular en el contexto de desencadenantes agudos. En primer lugar, los pacientes con fibrilación auricular con desencadenantes "reversibles" han sido excluidos de forma rutinaria de los ensayos clínicos de anticoagulantes orales, lo que ha dado lugar a una falta de evidencia directa de los ensayos aleatorios y controlados para formar un perfil de riesgo-beneficio de la anticoagulación oral a largo plazo en pacientes como esta mujer con fibrilación auricular de nueva aparición durante la sepsis. Por lo tanto, los médicos tienen que usar evidencia indirecta de ensayos aleatorios y controlados que excluyeron a pacientes como la mujer </w:t>
      </w:r>
      <w:r w:rsidR="00E77BDF" w:rsidRPr="0011226A">
        <w:rPr>
          <w:rFonts w:ascii="Baskerville Old Face" w:hAnsi="Baskerville Old Face"/>
        </w:rPr>
        <w:t>de</w:t>
      </w:r>
      <w:r w:rsidRPr="0011226A">
        <w:rPr>
          <w:rFonts w:ascii="Baskerville Old Face" w:hAnsi="Baskerville Old Face"/>
        </w:rPr>
        <w:t xml:space="preserve"> nuestro caso o evidencia más directa de estudios observacionales en pacientes con fibrilación auricular de nueva aparición durante la sepsis. Aunque la incidencia de recurrencia después de la nueva fibrilación auricular en pacientes con sepsis es alta (aproximadamente el 40 % a 1 año), es menor que la de los pacientes que viven en la comunidad con fibrilación auricular recién diagnosticada.</w:t>
      </w:r>
    </w:p>
    <w:p w14:paraId="605BAD3B" w14:textId="77777777" w:rsidR="00F9753A" w:rsidRPr="0011226A" w:rsidRDefault="00F9753A">
      <w:pPr>
        <w:rPr>
          <w:rFonts w:ascii="Baskerville Old Face" w:hAnsi="Baskerville Old Face"/>
        </w:rPr>
      </w:pPr>
    </w:p>
    <w:p w14:paraId="15DDFAFD" w14:textId="7373B2F7" w:rsidR="00F9753A" w:rsidRPr="0011226A" w:rsidRDefault="00F9753A">
      <w:pPr>
        <w:rPr>
          <w:rFonts w:ascii="Baskerville Old Face" w:hAnsi="Baskerville Old Face"/>
        </w:rPr>
      </w:pPr>
      <w:r w:rsidRPr="0011226A">
        <w:rPr>
          <w:rFonts w:ascii="Baskerville Old Face" w:hAnsi="Baskerville Old Face"/>
        </w:rPr>
        <w:t>Además de los menores riesgos de recurrencia de la fibrilación auricular, los riesgos de accidente cerebrovascular después de la fibrilación auricular de nueva aparición durante la sepsis son menores que los riesgos predichos de accidente cerebrovascular para pacientes que viven en la comunidad con fibrilación auricular y puntuaciones similares de CHA2DS2-VASc. Además, un estudio observacional mostró que el inicio del anticoagulante oral dentro de los 30 días después del alta en un paciente que había sido hospitalizado con fibrilación auricular de n</w:t>
      </w:r>
      <w:r w:rsidR="00E77BDF" w:rsidRPr="0011226A">
        <w:rPr>
          <w:rFonts w:ascii="Baskerville Old Face" w:hAnsi="Baskerville Old Face"/>
        </w:rPr>
        <w:t>ovo</w:t>
      </w:r>
      <w:r w:rsidRPr="0011226A">
        <w:rPr>
          <w:rFonts w:ascii="Baskerville Old Face" w:hAnsi="Baskerville Old Face"/>
        </w:rPr>
        <w:t xml:space="preserve"> la sepsis no se asoció con un menor riesgo de accidente cerebrovascular isquémico. A pesar del potencial de confusión residual como una limitación en este estudio no </w:t>
      </w:r>
      <w:r w:rsidR="00EC21EE" w:rsidRPr="0011226A">
        <w:rPr>
          <w:rFonts w:ascii="Baskerville Old Face" w:hAnsi="Baskerville Old Face"/>
        </w:rPr>
        <w:t>randomizado</w:t>
      </w:r>
      <w:r w:rsidRPr="0011226A">
        <w:rPr>
          <w:rFonts w:ascii="Baskerville Old Face" w:hAnsi="Baskerville Old Face"/>
        </w:rPr>
        <w:t xml:space="preserve">, el menor riesgo combinado de recurrencia de la fibrilación auricular y la falta de validez predictiva de la puntuación CHA2DS2-VASc después de </w:t>
      </w:r>
      <w:r w:rsidR="00E77BDF" w:rsidRPr="0011226A">
        <w:rPr>
          <w:rFonts w:ascii="Baskerville Old Face" w:hAnsi="Baskerville Old Face"/>
        </w:rPr>
        <w:t xml:space="preserve">la </w:t>
      </w:r>
      <w:r w:rsidRPr="0011226A">
        <w:rPr>
          <w:rFonts w:ascii="Baskerville Old Face" w:hAnsi="Baskerville Old Face"/>
        </w:rPr>
        <w:t xml:space="preserve">fibrilación auricular </w:t>
      </w:r>
      <w:r w:rsidR="00E77BDF" w:rsidRPr="0011226A">
        <w:rPr>
          <w:rFonts w:ascii="Baskerville Old Face" w:hAnsi="Baskerville Old Face"/>
        </w:rPr>
        <w:t xml:space="preserve">de novo </w:t>
      </w:r>
      <w:r w:rsidRPr="0011226A">
        <w:rPr>
          <w:rFonts w:ascii="Baskerville Old Face" w:hAnsi="Baskerville Old Face"/>
        </w:rPr>
        <w:t>durante la sepsis hacen que sea poco probable que el anticoagulante oral en este caso confiera un grado de beneficio similar al que se observa entre los pacientes que viven en la comunidad con fibrilación auricular.</w:t>
      </w:r>
    </w:p>
    <w:p w14:paraId="6CB61D14" w14:textId="77777777" w:rsidR="003B646E" w:rsidRPr="0011226A" w:rsidRDefault="003B646E">
      <w:pPr>
        <w:rPr>
          <w:rFonts w:ascii="Baskerville Old Face" w:hAnsi="Baskerville Old Face"/>
          <w:b/>
          <w:bCs/>
        </w:rPr>
      </w:pPr>
    </w:p>
    <w:p w14:paraId="415C3346" w14:textId="6A3C20D1" w:rsidR="003B646E" w:rsidRPr="00D76B1C" w:rsidRDefault="003B646E">
      <w:r w:rsidRPr="0011226A">
        <w:rPr>
          <w:rFonts w:ascii="Baskerville Old Face" w:hAnsi="Baskerville Old Face"/>
        </w:rPr>
        <w:t xml:space="preserve">Dada la falta de beneficio observado de la terapia anticoagulante oral después de la fibrilación auricular de novo durante la sepsis y el posible aumento del riesgo de sangrado, </w:t>
      </w:r>
      <w:r w:rsidRPr="0077483F">
        <w:rPr>
          <w:rFonts w:ascii="Baskerville Old Face" w:hAnsi="Baskerville Old Face"/>
          <w:b/>
          <w:bCs/>
        </w:rPr>
        <w:t xml:space="preserve">no recomendamos la anticoagulación oral de rutina para </w:t>
      </w:r>
      <w:r w:rsidR="00EC21EE" w:rsidRPr="0077483F">
        <w:rPr>
          <w:rFonts w:ascii="Baskerville Old Face" w:hAnsi="Baskerville Old Face"/>
          <w:b/>
          <w:bCs/>
        </w:rPr>
        <w:t>la</w:t>
      </w:r>
      <w:r w:rsidRPr="0077483F">
        <w:rPr>
          <w:rFonts w:ascii="Baskerville Old Face" w:hAnsi="Baskerville Old Face"/>
          <w:b/>
          <w:bCs/>
        </w:rPr>
        <w:t xml:space="preserve"> paciente de este caso</w:t>
      </w:r>
      <w:r w:rsidRPr="0011226A">
        <w:rPr>
          <w:rFonts w:ascii="Baskerville Old Face" w:hAnsi="Baskerville Old Face"/>
        </w:rPr>
        <w:t xml:space="preserve">. En su lugar, recomendaríamos una evaluación más profunda del riesgo de tromboembolismo mediante la realización de una ecocardiografía antes del alta hospitalaria para descartar la enfermedad cardíaca estructural subyacente, lo que podría sugerir que la fibrilación auricular presumiblemente recién diagnosticada </w:t>
      </w:r>
      <w:r w:rsidR="00EC21EE" w:rsidRPr="0011226A">
        <w:rPr>
          <w:rFonts w:ascii="Baskerville Old Face" w:hAnsi="Baskerville Old Face"/>
        </w:rPr>
        <w:t>fuera</w:t>
      </w:r>
      <w:r w:rsidRPr="0011226A">
        <w:rPr>
          <w:rFonts w:ascii="Baskerville Old Face" w:hAnsi="Baskerville Old Face"/>
        </w:rPr>
        <w:t xml:space="preserve"> preexistente; </w:t>
      </w:r>
      <w:r w:rsidR="00D76B1C" w:rsidRPr="0011226A">
        <w:rPr>
          <w:rFonts w:ascii="Baskerville Old Face" w:hAnsi="Baskerville Old Face"/>
        </w:rPr>
        <w:t>identificada</w:t>
      </w:r>
      <w:r w:rsidRPr="0011226A">
        <w:rPr>
          <w:rFonts w:ascii="Baskerville Old Face" w:hAnsi="Baskerville Old Face"/>
        </w:rPr>
        <w:t xml:space="preserve"> enfermedad cardíaca estructural, la anticoagulación oral a largo plazo </w:t>
      </w:r>
      <w:r w:rsidR="00D76B1C" w:rsidRPr="0011226A">
        <w:rPr>
          <w:rFonts w:ascii="Baskerville Old Face" w:hAnsi="Baskerville Old Face"/>
        </w:rPr>
        <w:t>tendría mayor beneficio</w:t>
      </w:r>
      <w:r w:rsidRPr="0011226A">
        <w:rPr>
          <w:rFonts w:ascii="Baskerville Old Face" w:hAnsi="Baskerville Old Face"/>
        </w:rPr>
        <w:t>. En ausencia de enfermedad cardíaca estructural sustancial, recomendamos el monitoreo del ritmo a largo plazo (es decir, más allá de 30 días) con dispositivos no invasivos disponibles comercialmente o un registrador de bucle implantable para monitorear la recurrencia de la fibrilación auricular, con decisiones compartidas con respecto al inicio de la anticoagulación oral si se repite la fibrilación auricular.</w:t>
      </w:r>
    </w:p>
    <w:sectPr w:rsidR="003B646E" w:rsidRPr="00D76B1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35C5D" w14:textId="77777777" w:rsidR="004134A2" w:rsidRDefault="004134A2" w:rsidP="0011226A">
      <w:r>
        <w:separator/>
      </w:r>
    </w:p>
  </w:endnote>
  <w:endnote w:type="continuationSeparator" w:id="0">
    <w:p w14:paraId="6102DAF7" w14:textId="77777777" w:rsidR="004134A2" w:rsidRDefault="004134A2" w:rsidP="0011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B4A43" w14:textId="77777777" w:rsidR="004134A2" w:rsidRDefault="004134A2" w:rsidP="0011226A">
      <w:r>
        <w:separator/>
      </w:r>
    </w:p>
  </w:footnote>
  <w:footnote w:type="continuationSeparator" w:id="0">
    <w:p w14:paraId="404BAEC9" w14:textId="77777777" w:rsidR="004134A2" w:rsidRDefault="004134A2" w:rsidP="0011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95E8" w14:textId="7AD7B909" w:rsidR="0011226A" w:rsidRPr="0011226A" w:rsidRDefault="0011226A" w:rsidP="0011226A">
    <w:pPr>
      <w:pStyle w:val="Encabezado"/>
      <w:jc w:val="right"/>
      <w:rPr>
        <w:sz w:val="16"/>
        <w:szCs w:val="16"/>
      </w:rPr>
    </w:pPr>
    <w:r w:rsidRPr="0011226A">
      <w:rPr>
        <w:sz w:val="16"/>
        <w:szCs w:val="16"/>
      </w:rPr>
      <w:t>GDT Arritmias HGMC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3A9"/>
    <w:multiLevelType w:val="hybridMultilevel"/>
    <w:tmpl w:val="09266D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7E0D7D56"/>
    <w:multiLevelType w:val="hybridMultilevel"/>
    <w:tmpl w:val="E05480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39751596">
    <w:abstractNumId w:val="1"/>
  </w:num>
  <w:num w:numId="2" w16cid:durableId="29190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69"/>
    <w:rsid w:val="00057469"/>
    <w:rsid w:val="0011226A"/>
    <w:rsid w:val="00263487"/>
    <w:rsid w:val="002878C8"/>
    <w:rsid w:val="003B646E"/>
    <w:rsid w:val="004134A2"/>
    <w:rsid w:val="00494D88"/>
    <w:rsid w:val="004B2721"/>
    <w:rsid w:val="0077483F"/>
    <w:rsid w:val="00954DF8"/>
    <w:rsid w:val="00AA6996"/>
    <w:rsid w:val="00C86475"/>
    <w:rsid w:val="00D76B1C"/>
    <w:rsid w:val="00E77BDF"/>
    <w:rsid w:val="00EC21EE"/>
    <w:rsid w:val="00EC68FD"/>
    <w:rsid w:val="00F975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7559C73"/>
  <w15:chartTrackingRefBased/>
  <w15:docId w15:val="{C27395C2-9F4B-B94C-8558-424811C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7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7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74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74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74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74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74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74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74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74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74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74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74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574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574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74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74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7469"/>
    <w:rPr>
      <w:rFonts w:eastAsiaTheme="majorEastAsia" w:cstheme="majorBidi"/>
      <w:color w:val="272727" w:themeColor="text1" w:themeTint="D8"/>
    </w:rPr>
  </w:style>
  <w:style w:type="paragraph" w:styleId="Ttulo">
    <w:name w:val="Title"/>
    <w:basedOn w:val="Normal"/>
    <w:next w:val="Normal"/>
    <w:link w:val="TtuloCar"/>
    <w:uiPriority w:val="10"/>
    <w:qFormat/>
    <w:rsid w:val="000574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74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746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74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746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57469"/>
    <w:rPr>
      <w:i/>
      <w:iCs/>
      <w:color w:val="404040" w:themeColor="text1" w:themeTint="BF"/>
    </w:rPr>
  </w:style>
  <w:style w:type="paragraph" w:styleId="Prrafodelista">
    <w:name w:val="List Paragraph"/>
    <w:basedOn w:val="Normal"/>
    <w:uiPriority w:val="34"/>
    <w:qFormat/>
    <w:rsid w:val="00057469"/>
    <w:pPr>
      <w:ind w:left="720"/>
      <w:contextualSpacing/>
    </w:pPr>
  </w:style>
  <w:style w:type="character" w:styleId="nfasisintenso">
    <w:name w:val="Intense Emphasis"/>
    <w:basedOn w:val="Fuentedeprrafopredeter"/>
    <w:uiPriority w:val="21"/>
    <w:qFormat/>
    <w:rsid w:val="00057469"/>
    <w:rPr>
      <w:i/>
      <w:iCs/>
      <w:color w:val="0F4761" w:themeColor="accent1" w:themeShade="BF"/>
    </w:rPr>
  </w:style>
  <w:style w:type="paragraph" w:styleId="Citadestacada">
    <w:name w:val="Intense Quote"/>
    <w:basedOn w:val="Normal"/>
    <w:next w:val="Normal"/>
    <w:link w:val="CitadestacadaCar"/>
    <w:uiPriority w:val="30"/>
    <w:qFormat/>
    <w:rsid w:val="00057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7469"/>
    <w:rPr>
      <w:i/>
      <w:iCs/>
      <w:color w:val="0F4761" w:themeColor="accent1" w:themeShade="BF"/>
    </w:rPr>
  </w:style>
  <w:style w:type="character" w:styleId="Referenciaintensa">
    <w:name w:val="Intense Reference"/>
    <w:basedOn w:val="Fuentedeprrafopredeter"/>
    <w:uiPriority w:val="32"/>
    <w:qFormat/>
    <w:rsid w:val="00057469"/>
    <w:rPr>
      <w:b/>
      <w:bCs/>
      <w:smallCaps/>
      <w:color w:val="0F4761" w:themeColor="accent1" w:themeShade="BF"/>
      <w:spacing w:val="5"/>
    </w:rPr>
  </w:style>
  <w:style w:type="paragraph" w:styleId="Encabezado">
    <w:name w:val="header"/>
    <w:basedOn w:val="Normal"/>
    <w:link w:val="EncabezadoCar"/>
    <w:uiPriority w:val="99"/>
    <w:unhideWhenUsed/>
    <w:rsid w:val="0011226A"/>
    <w:pPr>
      <w:tabs>
        <w:tab w:val="center" w:pos="4252"/>
        <w:tab w:val="right" w:pos="8504"/>
      </w:tabs>
    </w:pPr>
  </w:style>
  <w:style w:type="character" w:customStyle="1" w:styleId="EncabezadoCar">
    <w:name w:val="Encabezado Car"/>
    <w:basedOn w:val="Fuentedeprrafopredeter"/>
    <w:link w:val="Encabezado"/>
    <w:uiPriority w:val="99"/>
    <w:rsid w:val="0011226A"/>
  </w:style>
  <w:style w:type="paragraph" w:styleId="Piedepgina">
    <w:name w:val="footer"/>
    <w:basedOn w:val="Normal"/>
    <w:link w:val="PiedepginaCar"/>
    <w:uiPriority w:val="99"/>
    <w:unhideWhenUsed/>
    <w:rsid w:val="0011226A"/>
    <w:pPr>
      <w:tabs>
        <w:tab w:val="center" w:pos="4252"/>
        <w:tab w:val="right" w:pos="8504"/>
      </w:tabs>
    </w:pPr>
  </w:style>
  <w:style w:type="character" w:customStyle="1" w:styleId="PiedepginaCar">
    <w:name w:val="Pie de página Car"/>
    <w:basedOn w:val="Fuentedeprrafopredeter"/>
    <w:link w:val="Piedepgina"/>
    <w:uiPriority w:val="99"/>
    <w:rsid w:val="0011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1839</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CEPEDA ZAMORANO</dc:creator>
  <cp:keywords/>
  <dc:description/>
  <cp:lastModifiedBy>Jesus Monllor Mendez</cp:lastModifiedBy>
  <cp:revision>2</cp:revision>
  <dcterms:created xsi:type="dcterms:W3CDTF">2024-06-19T12:59:00Z</dcterms:created>
  <dcterms:modified xsi:type="dcterms:W3CDTF">2024-06-19T12:59:00Z</dcterms:modified>
</cp:coreProperties>
</file>